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333270">
        <w:rPr>
          <w:sz w:val="21"/>
          <w:szCs w:val="21"/>
        </w:rPr>
        <w:t>1454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192DE9" w:rsidRPr="00192DE9" w:rsidRDefault="00192DE9" w:rsidP="00192DE9">
            <w:pPr>
              <w:spacing w:after="160"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>Выполнение строительно-монтажных работ и работ по врезке по объектам:</w:t>
            </w:r>
          </w:p>
          <w:p w:rsidR="00192DE9" w:rsidRPr="00192DE9" w:rsidRDefault="00192DE9" w:rsidP="00192DE9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 xml:space="preserve">г. Челябинск, Западнее территории ГСК-6 "Автолюбитель", участок 74:36:0715003:33. Тех. присоединение. </w:t>
            </w:r>
          </w:p>
          <w:p w:rsidR="00192DE9" w:rsidRPr="00192DE9" w:rsidRDefault="00192DE9" w:rsidP="00192DE9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>г. Челябинск, ул. Автодорожная, 17 "А", ст. 1, здание склада, участок 74:36:0715004:91. Тех. присоединение.</w:t>
            </w:r>
          </w:p>
          <w:p w:rsidR="00192DE9" w:rsidRPr="00192DE9" w:rsidRDefault="00192DE9" w:rsidP="00192DE9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>г. Копейск, СНТ "Часовщик", ул. 32, уч. 40. Тех. присоединение.</w:t>
            </w:r>
          </w:p>
          <w:p w:rsidR="00192DE9" w:rsidRPr="00192DE9" w:rsidRDefault="00192DE9" w:rsidP="00192DE9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>г. Копейск, СНТ "Часовщик", ул. 33, уч. 13,14. Тех. присоединение.</w:t>
            </w:r>
          </w:p>
          <w:p w:rsidR="00192DE9" w:rsidRPr="00192DE9" w:rsidRDefault="00192DE9" w:rsidP="00192DE9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>г. Копейск, СНТ "Часовщик", ул. 33, уч. 3. Тех. присоединение.</w:t>
            </w:r>
          </w:p>
          <w:p w:rsidR="00192DE9" w:rsidRPr="00192DE9" w:rsidRDefault="00192DE9" w:rsidP="00192DE9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>г. Копейск, СНТ "Часовщик", ул. 33, уч. 15 "А". Тех. присоединение.</w:t>
            </w:r>
          </w:p>
          <w:p w:rsidR="00A53D27" w:rsidRDefault="00192DE9" w:rsidP="00192DE9">
            <w:pPr>
              <w:pStyle w:val="a6"/>
              <w:numPr>
                <w:ilvl w:val="0"/>
                <w:numId w:val="1"/>
              </w:numPr>
            </w:pPr>
            <w:r w:rsidRPr="00192DE9">
              <w:t>пос. Малая Сосновка, уч. 61, ЗУ КН 74:19:2005004:22. Тех. присоединение.</w:t>
            </w:r>
          </w:p>
          <w:p w:rsidR="00D1022C" w:rsidRPr="00A15913" w:rsidRDefault="00D1022C" w:rsidP="00F30514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D44C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D44CFE">
              <w:rPr>
                <w:sz w:val="20"/>
                <w:szCs w:val="20"/>
              </w:rPr>
              <w:t>232-01-57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192DE9" w:rsidRDefault="00192DE9" w:rsidP="00192DE9">
            <w:pPr>
              <w:jc w:val="both"/>
            </w:pPr>
            <w:r>
              <w:t>Выполнение строительно-монтажных работ и работ по врезке по объектам:</w:t>
            </w:r>
          </w:p>
          <w:p w:rsidR="00192DE9" w:rsidRDefault="00192DE9" w:rsidP="00192DE9">
            <w:pPr>
              <w:jc w:val="both"/>
            </w:pPr>
            <w:r>
              <w:t>1)</w:t>
            </w:r>
            <w:r>
              <w:tab/>
              <w:t xml:space="preserve">г. Челябинск, Западнее территории ГСК-6 "Автолюбитель", участок 74:36:0715003:33. Тех. присоединение. </w:t>
            </w:r>
          </w:p>
          <w:p w:rsidR="00192DE9" w:rsidRDefault="00192DE9" w:rsidP="00192DE9">
            <w:pPr>
              <w:jc w:val="both"/>
            </w:pPr>
            <w:r>
              <w:t>2)</w:t>
            </w:r>
            <w:r>
              <w:tab/>
              <w:t>г. Челябинск, ул. Автодорожная, 17 "А", ст. 1, здание склада, участок 74:36:0715004:91. Тех. присоединение.</w:t>
            </w:r>
          </w:p>
          <w:p w:rsidR="00192DE9" w:rsidRDefault="00192DE9" w:rsidP="00192DE9">
            <w:pPr>
              <w:jc w:val="both"/>
            </w:pPr>
            <w:r>
              <w:t>3)</w:t>
            </w:r>
            <w:r>
              <w:tab/>
              <w:t>г. Копейск, СНТ "Часовщик", ул. 32, уч. 40. Тех. присоединение.</w:t>
            </w:r>
          </w:p>
          <w:p w:rsidR="00192DE9" w:rsidRDefault="00192DE9" w:rsidP="00192DE9">
            <w:pPr>
              <w:jc w:val="both"/>
            </w:pPr>
            <w:r>
              <w:t>4)</w:t>
            </w:r>
            <w:r>
              <w:tab/>
              <w:t>г. Копейск, СНТ "Часовщик", ул. 33, уч. 13,14. Тех. присоединение.</w:t>
            </w:r>
          </w:p>
          <w:p w:rsidR="00192DE9" w:rsidRDefault="00192DE9" w:rsidP="00192DE9">
            <w:pPr>
              <w:jc w:val="both"/>
            </w:pPr>
            <w:r>
              <w:lastRenderedPageBreak/>
              <w:t>5)</w:t>
            </w:r>
            <w:r>
              <w:tab/>
              <w:t>г. Копейск, СНТ "Часовщик", ул. 33, уч. 3. Тех. присоединение.</w:t>
            </w:r>
          </w:p>
          <w:p w:rsidR="00192DE9" w:rsidRDefault="00192DE9" w:rsidP="00192DE9">
            <w:pPr>
              <w:jc w:val="both"/>
            </w:pPr>
            <w:r>
              <w:t>6)</w:t>
            </w:r>
            <w:r>
              <w:tab/>
              <w:t>г. Копейск, СНТ "Часовщик", ул. 33, уч. 15 "А". Тех. присоединение.</w:t>
            </w:r>
          </w:p>
          <w:p w:rsidR="00D1022C" w:rsidRPr="00A15913" w:rsidRDefault="00192DE9" w:rsidP="00192DE9">
            <w:pPr>
              <w:jc w:val="both"/>
              <w:rPr>
                <w:sz w:val="20"/>
                <w:szCs w:val="20"/>
              </w:rPr>
            </w:pPr>
            <w:r>
              <w:t>7)</w:t>
            </w:r>
            <w:r>
              <w:tab/>
              <w:t>пос. Малая Сосновка, уч. 61, ЗУ КН 74:19:2005004:22. Тех. присоединение.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192DE9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6 429 035, 51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192DE9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5 357 529,60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550805" w:rsidRPr="00A15913" w:rsidTr="0049557C">
              <w:tc>
                <w:tcPr>
                  <w:tcW w:w="454" w:type="dxa"/>
                </w:tcPr>
                <w:p w:rsidR="00550805" w:rsidRPr="00A15913" w:rsidRDefault="00550805" w:rsidP="00550805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550805" w:rsidRPr="00A15913" w:rsidRDefault="00550805" w:rsidP="0014424E">
                  <w:pPr>
                    <w:rPr>
                      <w:sz w:val="20"/>
                      <w:szCs w:val="20"/>
                    </w:rPr>
                  </w:pPr>
                  <w:r w:rsidRPr="00D46215">
                    <w:t xml:space="preserve">Выполнение работ строительно-монтажных </w:t>
                  </w:r>
                </w:p>
              </w:tc>
              <w:tc>
                <w:tcPr>
                  <w:tcW w:w="1985" w:type="dxa"/>
                  <w:vAlign w:val="center"/>
                </w:tcPr>
                <w:p w:rsidR="00550805" w:rsidRPr="00A15913" w:rsidRDefault="00192DE9" w:rsidP="00550805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6 429 035, 51</w:t>
                  </w:r>
                </w:p>
              </w:tc>
              <w:tc>
                <w:tcPr>
                  <w:tcW w:w="2268" w:type="dxa"/>
                  <w:vAlign w:val="center"/>
                </w:tcPr>
                <w:p w:rsidR="00A53D27" w:rsidRPr="00A15913" w:rsidRDefault="00A53D27" w:rsidP="00A53D27">
                  <w:pPr>
                    <w:rPr>
                      <w:sz w:val="20"/>
                      <w:szCs w:val="20"/>
                    </w:rPr>
                  </w:pPr>
                </w:p>
                <w:p w:rsidR="00192DE9" w:rsidRPr="00A15913" w:rsidRDefault="00192DE9" w:rsidP="00192DE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5 357 529,60</w:t>
                  </w:r>
                </w:p>
                <w:p w:rsidR="00550805" w:rsidRPr="0039333B" w:rsidRDefault="00550805" w:rsidP="005508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333270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  <w:r w:rsidR="00A53D27">
              <w:rPr>
                <w:sz w:val="20"/>
                <w:szCs w:val="20"/>
              </w:rPr>
              <w:t>2021 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33327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21.12</w:t>
            </w:r>
            <w:r w:rsidR="00A53D27">
              <w:rPr>
                <w:b/>
                <w:sz w:val="20"/>
                <w:szCs w:val="20"/>
              </w:rPr>
              <w:t>.2021 г.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33327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27.12</w:t>
            </w:r>
            <w:r w:rsidR="00A53D27">
              <w:rPr>
                <w:b/>
                <w:sz w:val="20"/>
                <w:szCs w:val="20"/>
              </w:rPr>
              <w:t>.2021 г.</w:t>
            </w:r>
          </w:p>
          <w:p w:rsidR="00D1022C" w:rsidRPr="009C1D81" w:rsidRDefault="00A53D27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32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часов </w:t>
            </w:r>
            <w:r w:rsidR="00333270">
              <w:rPr>
                <w:sz w:val="20"/>
                <w:szCs w:val="20"/>
              </w:rPr>
              <w:t>59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33327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</w:t>
            </w:r>
            <w:r w:rsidR="00A53D27">
              <w:rPr>
                <w:b/>
                <w:sz w:val="20"/>
                <w:szCs w:val="20"/>
              </w:rPr>
              <w:t>2021</w:t>
            </w:r>
          </w:p>
          <w:p w:rsidR="00D1022C" w:rsidRPr="00A15913" w:rsidRDefault="0033327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333270">
              <w:rPr>
                <w:b/>
                <w:sz w:val="20"/>
                <w:szCs w:val="20"/>
              </w:rPr>
              <w:t>29.12</w:t>
            </w:r>
            <w:bookmarkStart w:id="7" w:name="_GoBack"/>
            <w:bookmarkEnd w:id="7"/>
            <w:r w:rsidR="00A53D27">
              <w:rPr>
                <w:b/>
                <w:sz w:val="20"/>
                <w:szCs w:val="20"/>
              </w:rPr>
              <w:t>.2021 г.</w:t>
            </w: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92DE9"/>
    <w:rsid w:val="001A0CD2"/>
    <w:rsid w:val="00206C28"/>
    <w:rsid w:val="00240B04"/>
    <w:rsid w:val="00333270"/>
    <w:rsid w:val="0039333B"/>
    <w:rsid w:val="004711A9"/>
    <w:rsid w:val="00550805"/>
    <w:rsid w:val="005974F1"/>
    <w:rsid w:val="0063780E"/>
    <w:rsid w:val="006E2893"/>
    <w:rsid w:val="0073691C"/>
    <w:rsid w:val="00780788"/>
    <w:rsid w:val="007F34A8"/>
    <w:rsid w:val="009C1D81"/>
    <w:rsid w:val="009D4DCE"/>
    <w:rsid w:val="00A53D27"/>
    <w:rsid w:val="00AD5332"/>
    <w:rsid w:val="00B10B94"/>
    <w:rsid w:val="00B2572F"/>
    <w:rsid w:val="00B75AE6"/>
    <w:rsid w:val="00BC7523"/>
    <w:rsid w:val="00BE535D"/>
    <w:rsid w:val="00D1022C"/>
    <w:rsid w:val="00D17AAD"/>
    <w:rsid w:val="00D44CFE"/>
    <w:rsid w:val="00D46215"/>
    <w:rsid w:val="00D73A5F"/>
    <w:rsid w:val="00DB58E9"/>
    <w:rsid w:val="00E01EDE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9</cp:revision>
  <dcterms:created xsi:type="dcterms:W3CDTF">2021-11-29T03:59:00Z</dcterms:created>
  <dcterms:modified xsi:type="dcterms:W3CDTF">2021-12-20T05:43:00Z</dcterms:modified>
</cp:coreProperties>
</file>