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BC217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№1481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BC217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BC2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F97096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76DED" w:rsidRPr="00976DED">
              <w:rPr>
                <w:color w:val="000000" w:themeColor="text1"/>
              </w:rPr>
              <w:t>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F97096">
              <w:rPr>
                <w:color w:val="000000" w:themeColor="text1"/>
              </w:rPr>
              <w:t>5 0</w:t>
            </w:r>
            <w:r w:rsidR="00AD57D6">
              <w:rPr>
                <w:color w:val="000000" w:themeColor="text1"/>
              </w:rPr>
              <w:t>00 000,00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BC217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BC2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BC2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BC217C">
              <w:rPr>
                <w:b/>
                <w:sz w:val="20"/>
                <w:szCs w:val="20"/>
              </w:rPr>
              <w:t>03.03.2022 00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BC217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BC217C">
              <w:rPr>
                <w:b/>
                <w:sz w:val="20"/>
                <w:szCs w:val="20"/>
              </w:rPr>
              <w:t>11.03.2022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E154A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E154AF">
              <w:rPr>
                <w:b/>
                <w:sz w:val="20"/>
                <w:szCs w:val="20"/>
              </w:rPr>
              <w:t>12.03.2022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Рассмотрение, оценка и сопоставление заявок на участие в маркетинговых исследованиях, подведение итогов маркетинговых иссле</w:t>
            </w:r>
            <w:bookmarkStart w:id="6" w:name="дата_рассмотрения"/>
            <w:r w:rsidR="00E154AF">
              <w:rPr>
                <w:sz w:val="20"/>
                <w:szCs w:val="20"/>
              </w:rPr>
              <w:t xml:space="preserve">дований проводятся одновременно </w:t>
            </w:r>
            <w:r w:rsidR="00E154AF" w:rsidRPr="00E154AF">
              <w:rPr>
                <w:b/>
                <w:sz w:val="20"/>
                <w:szCs w:val="20"/>
              </w:rPr>
              <w:t>не позднее 16.03.2022 17:00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_GoBack"/>
            <w:bookmarkEnd w:id="7"/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70E5C"/>
    <w:rsid w:val="0039333B"/>
    <w:rsid w:val="005974F1"/>
    <w:rsid w:val="0063780E"/>
    <w:rsid w:val="006E2893"/>
    <w:rsid w:val="0073691C"/>
    <w:rsid w:val="00780788"/>
    <w:rsid w:val="008723DC"/>
    <w:rsid w:val="00976DED"/>
    <w:rsid w:val="009C1D81"/>
    <w:rsid w:val="009D4DCE"/>
    <w:rsid w:val="00AD57D6"/>
    <w:rsid w:val="00B2572F"/>
    <w:rsid w:val="00B75AE6"/>
    <w:rsid w:val="00BC217C"/>
    <w:rsid w:val="00BE535D"/>
    <w:rsid w:val="00D1022C"/>
    <w:rsid w:val="00E01EDE"/>
    <w:rsid w:val="00E154AF"/>
    <w:rsid w:val="00E56584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0808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27</cp:revision>
  <dcterms:created xsi:type="dcterms:W3CDTF">2021-07-20T11:07:00Z</dcterms:created>
  <dcterms:modified xsi:type="dcterms:W3CDTF">2022-03-02T09:42:00Z</dcterms:modified>
</cp:coreProperties>
</file>