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2512C0">
        <w:rPr>
          <w:sz w:val="21"/>
          <w:szCs w:val="21"/>
        </w:rPr>
        <w:t xml:space="preserve"> </w:t>
      </w:r>
      <w:r w:rsidR="00270212">
        <w:rPr>
          <w:sz w:val="21"/>
          <w:szCs w:val="21"/>
        </w:rPr>
        <w:t>1495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EA153F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 w:rsidR="00EA153F">
              <w:rPr>
                <w:rFonts w:eastAsia="Courier New"/>
                <w:bCs/>
                <w:color w:val="000000"/>
              </w:rPr>
              <w:t>инженерно-геодезических работ по разбивке трассы и исполнительной съемке по объектам</w:t>
            </w:r>
            <w:r w:rsidRPr="00AC34CF">
              <w:rPr>
                <w:rFonts w:eastAsia="Courier New"/>
                <w:bCs/>
                <w:color w:val="000000"/>
              </w:rPr>
              <w:t>, расположенны</w:t>
            </w:r>
            <w:r w:rsidR="00EA153F">
              <w:rPr>
                <w:rFonts w:eastAsia="Courier New"/>
                <w:bCs/>
                <w:color w:val="000000"/>
              </w:rPr>
              <w:t>м</w:t>
            </w:r>
            <w:r w:rsidRPr="00AC34CF">
              <w:rPr>
                <w:rFonts w:eastAsia="Courier New"/>
                <w:bCs/>
                <w:color w:val="000000"/>
              </w:rPr>
              <w:t xml:space="preserve"> на территории Челябинской области</w:t>
            </w:r>
            <w:r w:rsidR="00EA153F">
              <w:rPr>
                <w:rFonts w:eastAsia="Courier New"/>
                <w:bCs/>
                <w:color w:val="000000"/>
              </w:rPr>
              <w:t>. Технологическое присоединение.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A153F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инженерно-геодезических работ по разбивке трассы и исполнительной съемке по объектам</w:t>
            </w:r>
            <w:r w:rsidRPr="00AC34CF">
              <w:rPr>
                <w:rFonts w:eastAsia="Courier New"/>
                <w:bCs/>
                <w:color w:val="000000"/>
              </w:rPr>
              <w:t>, расположенны</w:t>
            </w:r>
            <w:r>
              <w:rPr>
                <w:rFonts w:eastAsia="Courier New"/>
                <w:bCs/>
                <w:color w:val="000000"/>
              </w:rPr>
              <w:t>м</w:t>
            </w:r>
            <w:r w:rsidRPr="00AC34CF">
              <w:rPr>
                <w:rFonts w:eastAsia="Courier New"/>
                <w:bCs/>
                <w:color w:val="000000"/>
              </w:rPr>
              <w:t xml:space="preserve"> на территории Челябинской области</w:t>
            </w:r>
            <w:r>
              <w:rPr>
                <w:rFonts w:eastAsia="Courier New"/>
                <w:bCs/>
                <w:color w:val="000000"/>
              </w:rPr>
              <w:t>. Технологическое присоединение.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EA153F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880 000</w:t>
            </w:r>
            <w:r w:rsidR="00113923">
              <w:rPr>
                <w:color w:val="000000" w:themeColor="text1"/>
              </w:rPr>
              <w:t>.00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EA153F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99 274,80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EA153F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733 333,33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EA153F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82 729,00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EA153F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инженерно-геодезических работ по разбивке трассы и исполнительной съемке по объектам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>, расположенны</w:t>
                  </w:r>
                  <w:r>
                    <w:rPr>
                      <w:rFonts w:eastAsia="Courier New"/>
                      <w:bCs/>
                      <w:color w:val="000000"/>
                    </w:rPr>
                    <w:t>м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на территории Челябинской области</w:t>
                  </w:r>
                  <w:r>
                    <w:rPr>
                      <w:rFonts w:eastAsia="Courier New"/>
                      <w:bCs/>
                      <w:color w:val="000000"/>
                    </w:rPr>
                    <w:t>. Технологическое присоединение.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EA153F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99 274,80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EA153F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82 729,00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2702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2512C0">
              <w:rPr>
                <w:sz w:val="20"/>
                <w:szCs w:val="20"/>
              </w:rPr>
              <w:t>.2022 г.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2702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22.03</w:t>
            </w:r>
            <w:r w:rsidR="002512C0">
              <w:rPr>
                <w:b/>
                <w:sz w:val="20"/>
                <w:szCs w:val="20"/>
              </w:rPr>
              <w:t>.2022 г. (00:00ч)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2702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30.03</w:t>
            </w:r>
            <w:r w:rsidR="002512C0">
              <w:rPr>
                <w:b/>
                <w:sz w:val="20"/>
                <w:szCs w:val="20"/>
              </w:rPr>
              <w:t xml:space="preserve">.2022 г. </w:t>
            </w:r>
          </w:p>
          <w:p w:rsidR="00D1022C" w:rsidRPr="009C1D81" w:rsidRDefault="00270212" w:rsidP="00270212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022C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2702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</w:t>
            </w:r>
            <w:r w:rsidR="002512C0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2702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022C">
              <w:rPr>
                <w:sz w:val="20"/>
                <w:szCs w:val="20"/>
              </w:rPr>
              <w:t xml:space="preserve"> часов 0</w:t>
            </w:r>
            <w:r>
              <w:rPr>
                <w:sz w:val="20"/>
                <w:szCs w:val="20"/>
              </w:rPr>
              <w:t>1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270212">
              <w:rPr>
                <w:b/>
                <w:sz w:val="20"/>
                <w:szCs w:val="20"/>
              </w:rPr>
              <w:t>01.04</w:t>
            </w:r>
            <w:bookmarkStart w:id="7" w:name="_GoBack"/>
            <w:bookmarkEnd w:id="7"/>
            <w:r w:rsidR="002512C0">
              <w:rPr>
                <w:b/>
                <w:sz w:val="20"/>
                <w:szCs w:val="20"/>
              </w:rPr>
              <w:t>.2022 г. (17:00ч)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</w:t>
            </w:r>
            <w:r w:rsidRPr="00A15913">
              <w:rPr>
                <w:sz w:val="20"/>
                <w:szCs w:val="20"/>
              </w:rPr>
              <w:lastRenderedPageBreak/>
              <w:t>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lastRenderedPageBreak/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2512C0"/>
    <w:rsid w:val="00270212"/>
    <w:rsid w:val="0039333B"/>
    <w:rsid w:val="00573956"/>
    <w:rsid w:val="005974F1"/>
    <w:rsid w:val="0063780E"/>
    <w:rsid w:val="006E2893"/>
    <w:rsid w:val="0073691C"/>
    <w:rsid w:val="00780788"/>
    <w:rsid w:val="008723DC"/>
    <w:rsid w:val="009C1D81"/>
    <w:rsid w:val="009D4DCE"/>
    <w:rsid w:val="00A63755"/>
    <w:rsid w:val="00AA0163"/>
    <w:rsid w:val="00B2572F"/>
    <w:rsid w:val="00B75AE6"/>
    <w:rsid w:val="00BE535D"/>
    <w:rsid w:val="00D1022C"/>
    <w:rsid w:val="00E01EDE"/>
    <w:rsid w:val="00E56584"/>
    <w:rsid w:val="00E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8</cp:revision>
  <dcterms:created xsi:type="dcterms:W3CDTF">2022-01-31T09:22:00Z</dcterms:created>
  <dcterms:modified xsi:type="dcterms:W3CDTF">2022-03-21T06:33:00Z</dcterms:modified>
</cp:coreProperties>
</file>